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DA3" w:rsidRPr="00185DA3" w:rsidRDefault="00185DA3" w:rsidP="00185DA3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A78C0"/>
          <w:kern w:val="36"/>
          <w:sz w:val="48"/>
          <w:szCs w:val="48"/>
          <w:lang w:eastAsia="ru-RU"/>
        </w:rPr>
      </w:pPr>
      <w:r w:rsidRPr="00185DA3">
        <w:rPr>
          <w:rFonts w:ascii="Arial" w:eastAsia="Times New Roman" w:hAnsi="Arial" w:cs="Arial"/>
          <w:b/>
          <w:bCs/>
          <w:color w:val="0A78C0"/>
          <w:kern w:val="36"/>
          <w:sz w:val="32"/>
          <w:szCs w:val="32"/>
          <w:lang w:eastAsia="ru-RU"/>
        </w:rPr>
        <w:t> </w:t>
      </w:r>
      <w:bookmarkStart w:id="0" w:name="_GoBack"/>
      <w:r w:rsidRPr="00185DA3">
        <w:rPr>
          <w:rFonts w:ascii="Arial" w:eastAsia="Times New Roman" w:hAnsi="Arial" w:cs="Arial"/>
          <w:b/>
          <w:bCs/>
          <w:color w:val="0A78C0"/>
          <w:kern w:val="36"/>
          <w:sz w:val="32"/>
          <w:szCs w:val="32"/>
          <w:lang w:eastAsia="ru-RU"/>
        </w:rPr>
        <w:t>Установка УК (способа управления) на дом</w:t>
      </w:r>
      <w:bookmarkEnd w:id="0"/>
    </w:p>
    <w:p w:rsidR="00185DA3" w:rsidRPr="00185DA3" w:rsidRDefault="00185DA3" w:rsidP="00185DA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      Для установки управляющей компании (способа управления) на дом необходимо в меню «Расчет услуг», в разделе «Объекты учета», выбрать «Изменение управляющей компании на доме».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noProof/>
          <w:color w:val="212529"/>
          <w:sz w:val="24"/>
          <w:szCs w:val="24"/>
          <w:lang w:eastAsia="ru-RU"/>
        </w:rPr>
        <w:drawing>
          <wp:inline distT="0" distB="0" distL="0" distR="0">
            <wp:extent cx="9883140" cy="4122420"/>
            <wp:effectExtent l="0" t="0" r="3810" b="0"/>
            <wp:docPr id="9" name="Рисунок 9" descr="http://portal.tek.ru/upload/medialibrary/1d7/9m1pgohtxs9sg4cr2j0zwbba0tjams9o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rtal.tek.ru/upload/medialibrary/1d7/9m1pgohtxs9sg4cr2j0zwbba0tjams9o/content-img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3140" cy="412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Для установки новой УК (способа управления) на дом, в открывшемся окне, воспользуйтесь кн. «Создать».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noProof/>
          <w:color w:val="212529"/>
          <w:sz w:val="24"/>
          <w:szCs w:val="24"/>
          <w:lang w:eastAsia="ru-RU"/>
        </w:rPr>
        <w:drawing>
          <wp:inline distT="0" distB="0" distL="0" distR="0">
            <wp:extent cx="9883140" cy="2034540"/>
            <wp:effectExtent l="0" t="0" r="3810" b="3810"/>
            <wp:docPr id="8" name="Рисунок 8" descr="http://portal.tek.ru/upload/medialibrary/8cb/uvtql7osccxhykmq56k54iswtdd5xppj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rtal.tek.ru/upload/medialibrary/8cb/uvtql7osccxhykmq56k54iswtdd5xppj/content-im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314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В документе «Изменение Управляющей компании на доме» воспользуйтесь кн. «Заполнить»: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noProof/>
          <w:color w:val="212529"/>
          <w:sz w:val="24"/>
          <w:szCs w:val="24"/>
          <w:lang w:eastAsia="ru-RU"/>
        </w:rPr>
        <w:lastRenderedPageBreak/>
        <w:drawing>
          <wp:inline distT="0" distB="0" distL="0" distR="0">
            <wp:extent cx="9883140" cy="2011680"/>
            <wp:effectExtent l="0" t="0" r="3810" b="7620"/>
            <wp:docPr id="7" name="Рисунок 7" descr="http://portal.tek.ru/upload/medialibrary/4a4/sy2m81of5hyeffjv8pew4ox6h8almwo2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rtal.tek.ru/upload/medialibrary/4a4/sy2m81of5hyeffjv8pew4ox6h8almwo2/content-im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314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              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Будет выполнен переход к форме «Изменение управляющей компании на доме (создание)»: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noProof/>
          <w:color w:val="212529"/>
          <w:sz w:val="24"/>
          <w:szCs w:val="24"/>
          <w:lang w:eastAsia="ru-RU"/>
        </w:rPr>
        <w:lastRenderedPageBreak/>
        <w:drawing>
          <wp:inline distT="0" distB="0" distL="0" distR="0">
            <wp:extent cx="5951220" cy="7376160"/>
            <wp:effectExtent l="0" t="0" r="0" b="0"/>
            <wp:docPr id="6" name="Рисунок 6" descr="http://portal.tek.ru/upload/medialibrary/36b/robjtcqxp4kjbe7sdd0lhdnqyhhe5epo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rtal.tek.ru/upload/medialibrary/36b/robjtcqxp4kjbe7sdd0lhdnqyhhe5epo/content-im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220" cy="737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В блоке «Параметры отбора» укажите дату начала и окончания отбора, и выберите и укажите, адрес, на который необходимо установить управляющую компанию (способа управления).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В блоке «Управляющая компания» укажите: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- Начало действия (дата, с которой будет установлена УК на дом);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- Управляющая компания (Наименование управляющей компании). Если способ управления «непосредственное управление», то в поле управляющая компания указать контрагенте «непосредственное управление»;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 xml:space="preserve">- Договор - договор в отношении выбранной на доме УК подтягивается 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автоматически из поля «Наименование» на договоре с видами договора «ДЭ (УК/ТСЖ)» или «ДЭ (СОТ)» с заполненным атрибутом «Использовать по умолчанию» закладки «Договоры» элемента справочника «Контрагенты», т.е. выбранной УК. Если договор энергоснабжения со значением по умолчанию у контрагента отсутствует, то поле таблицы документа автоматически не заполняется. Необходимо выбрать договор вручную: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noProof/>
          <w:color w:val="212529"/>
          <w:sz w:val="24"/>
          <w:szCs w:val="24"/>
          <w:lang w:eastAsia="ru-RU"/>
        </w:rPr>
        <w:drawing>
          <wp:inline distT="0" distB="0" distL="0" distR="0">
            <wp:extent cx="9883140" cy="1790700"/>
            <wp:effectExtent l="0" t="0" r="3810" b="0"/>
            <wp:docPr id="5" name="Рисунок 5" descr="http://portal.tek.ru/upload/medialibrary/dba/dvmom3c9cbmato7ad1xew77txvpwxvbn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ortal.tek.ru/upload/medialibrary/dba/dvmom3c9cbmato7ad1xew77txvpwxvbn/content-im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314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noProof/>
          <w:color w:val="212529"/>
          <w:sz w:val="24"/>
          <w:szCs w:val="24"/>
          <w:lang w:eastAsia="ru-RU"/>
        </w:rPr>
        <w:lastRenderedPageBreak/>
        <w:drawing>
          <wp:inline distT="0" distB="0" distL="0" distR="0">
            <wp:extent cx="6035040" cy="7437120"/>
            <wp:effectExtent l="0" t="0" r="3810" b="0"/>
            <wp:docPr id="4" name="Рисунок 4" descr="http://portal.tek.ru/upload/medialibrary/4f1/iy84ahs3vdkt17b0z3zt47uu9c7w1f91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ortal.tek.ru/upload/medialibrary/4f1/iy84ahs3vdkt17b0z3zt47uu9c7w1f91/content-im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743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Далее воспользуйтесь кн. «Заполнить и закрыть».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Проверьте заполненный документ и воспользуйтесь кн. «Провести и закрыть», документу будет присвоен номер, и далее документ будет отображаться в списке документов «Изменение управляющей компании на доме»: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noProof/>
          <w:color w:val="212529"/>
          <w:sz w:val="24"/>
          <w:szCs w:val="24"/>
          <w:lang w:eastAsia="ru-RU"/>
        </w:rPr>
        <w:lastRenderedPageBreak/>
        <w:drawing>
          <wp:inline distT="0" distB="0" distL="0" distR="0">
            <wp:extent cx="9883140" cy="1775460"/>
            <wp:effectExtent l="0" t="0" r="3810" b="0"/>
            <wp:docPr id="3" name="Рисунок 3" descr="http://portal.tek.ru/upload/medialibrary/f5a/3thrd5x9m664os7vw0hulc4uzewhsq70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ortal.tek.ru/upload/medialibrary/f5a/3thrd5x9m664os7vw0hulc4uzewhsq70/content-im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314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Просмотреть установленную управляющую компанию (способ управления) можно на Доме:</w:t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noProof/>
          <w:color w:val="212529"/>
          <w:sz w:val="24"/>
          <w:szCs w:val="24"/>
          <w:lang w:eastAsia="ru-RU"/>
        </w:rPr>
        <w:drawing>
          <wp:inline distT="0" distB="0" distL="0" distR="0">
            <wp:extent cx="9883140" cy="3421380"/>
            <wp:effectExtent l="0" t="0" r="3810" b="7620"/>
            <wp:docPr id="2" name="Рисунок 2" descr="http://portal.tek.ru/upload/medialibrary/126/iifvyn19lp285xalxw7z4sni9iyer8vm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ortal.tek.ru/upload/medialibrary/126/iifvyn19lp285xalxw7z4sni9iyer8vm/content-im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3140" cy="342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185DA3">
        <w:rPr>
          <w:rFonts w:ascii="Arial" w:eastAsia="Times New Roman" w:hAnsi="Arial" w:cs="Arial"/>
          <w:noProof/>
          <w:color w:val="212529"/>
          <w:sz w:val="24"/>
          <w:szCs w:val="24"/>
          <w:lang w:eastAsia="ru-RU"/>
        </w:rPr>
        <w:drawing>
          <wp:inline distT="0" distB="0" distL="0" distR="0">
            <wp:extent cx="9883140" cy="1508760"/>
            <wp:effectExtent l="0" t="0" r="3810" b="0"/>
            <wp:docPr id="1" name="Рисунок 1" descr="http://portal.tek.ru/upload/medialibrary/bfb/qrpubi0rx7wexloepxnyprue2ecmou4g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ortal.tek.ru/upload/medialibrary/bfb/qrpubi0rx7wexloepxnyprue2ecmou4g/content-im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314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F22" w:rsidRDefault="00DA6F22"/>
    <w:sectPr w:rsidR="00DA6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2A"/>
    <w:rsid w:val="00185DA3"/>
    <w:rsid w:val="00C2042A"/>
    <w:rsid w:val="00DA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D735B-3158-4120-BB22-8D2AD2D14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5D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D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Владимирович</dc:creator>
  <cp:keywords/>
  <dc:description/>
  <cp:lastModifiedBy>Трофимов Дмитрий Владимирович</cp:lastModifiedBy>
  <cp:revision>3</cp:revision>
  <dcterms:created xsi:type="dcterms:W3CDTF">2025-11-01T13:37:00Z</dcterms:created>
  <dcterms:modified xsi:type="dcterms:W3CDTF">2025-11-01T13:38:00Z</dcterms:modified>
</cp:coreProperties>
</file>